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76" w:rsidRPr="00C01076" w:rsidRDefault="00C01076" w:rsidP="00D927EE">
      <w:pPr>
        <w:rPr>
          <w:rFonts w:ascii="Tahoma" w:hAnsi="Tahoma" w:cs="Tahoma"/>
          <w:b/>
          <w:i/>
          <w:smallCaps/>
        </w:rPr>
      </w:pPr>
    </w:p>
    <w:p w:rsidR="00402ABF" w:rsidRPr="0092489A" w:rsidRDefault="00392957" w:rsidP="00C01076">
      <w:pPr>
        <w:jc w:val="both"/>
        <w:rPr>
          <w:rFonts w:ascii="Tahoma" w:hAnsi="Tahoma" w:cs="Tahoma"/>
          <w:b/>
          <w:bCs/>
          <w:smallCaps/>
          <w:color w:val="002060"/>
          <w:w w:val="150"/>
        </w:rPr>
      </w:pPr>
      <w:proofErr w:type="spellStart"/>
      <w:r>
        <w:rPr>
          <w:rFonts w:ascii="Tahoma" w:hAnsi="Tahoma" w:cs="Tahoma"/>
          <w:b/>
          <w:bCs/>
          <w:smallCaps/>
          <w:color w:val="002060"/>
          <w:w w:val="150"/>
        </w:rPr>
        <w:t>xxxx</w:t>
      </w:r>
      <w:proofErr w:type="spellEnd"/>
      <w:r w:rsidR="00AA6A00">
        <w:rPr>
          <w:rFonts w:ascii="Tahoma" w:hAnsi="Tahoma" w:cs="Tahoma"/>
          <w:b/>
          <w:bCs/>
          <w:smallCaps/>
          <w:color w:val="002060"/>
          <w:w w:val="150"/>
        </w:rPr>
        <w:t xml:space="preserve"> &amp; </w:t>
      </w:r>
      <w:proofErr w:type="spellStart"/>
      <w:r>
        <w:rPr>
          <w:rFonts w:ascii="Tahoma" w:hAnsi="Tahoma" w:cs="Tahoma"/>
          <w:b/>
          <w:bCs/>
          <w:smallCaps/>
          <w:color w:val="002060"/>
          <w:w w:val="150"/>
        </w:rPr>
        <w:t>xxxxxx</w:t>
      </w:r>
      <w:proofErr w:type="spellEnd"/>
    </w:p>
    <w:p w:rsidR="00402ABF" w:rsidRPr="0092489A" w:rsidRDefault="00AA6A00" w:rsidP="00C01076">
      <w:pPr>
        <w:jc w:val="both"/>
        <w:rPr>
          <w:rFonts w:ascii="Tahoma" w:hAnsi="Tahoma" w:cs="Tahoma"/>
          <w:bCs/>
          <w:color w:val="002060"/>
        </w:rPr>
      </w:pPr>
      <w:r>
        <w:rPr>
          <w:rFonts w:ascii="Tahoma" w:hAnsi="Tahoma" w:cs="Tahoma"/>
          <w:bCs/>
          <w:color w:val="002060"/>
        </w:rPr>
        <w:t xml:space="preserve">Avenida </w:t>
      </w:r>
    </w:p>
    <w:p w:rsidR="00C01076" w:rsidRPr="0092489A" w:rsidRDefault="008202E9" w:rsidP="00C01076">
      <w:pPr>
        <w:jc w:val="both"/>
        <w:rPr>
          <w:rFonts w:ascii="Tahoma" w:hAnsi="Tahoma" w:cs="Tahoma"/>
          <w:bCs/>
          <w:color w:val="002060"/>
        </w:rPr>
      </w:pPr>
      <w:proofErr w:type="spellStart"/>
      <w:r>
        <w:rPr>
          <w:rFonts w:ascii="Tahoma" w:hAnsi="Tahoma" w:cs="Tahoma"/>
          <w:bCs/>
          <w:color w:val="002060"/>
        </w:rPr>
        <w:t>Xx</w:t>
      </w:r>
      <w:proofErr w:type="spellEnd"/>
      <w:r>
        <w:rPr>
          <w:rFonts w:ascii="Tahoma" w:hAnsi="Tahoma" w:cs="Tahoma"/>
          <w:bCs/>
          <w:color w:val="002060"/>
        </w:rPr>
        <w:t xml:space="preserve"> </w:t>
      </w:r>
      <w:proofErr w:type="spellStart"/>
      <w:r>
        <w:rPr>
          <w:rFonts w:ascii="Tahoma" w:hAnsi="Tahoma" w:cs="Tahoma"/>
          <w:bCs/>
          <w:color w:val="002060"/>
        </w:rPr>
        <w:t>xxxxx</w:t>
      </w:r>
      <w:proofErr w:type="spellEnd"/>
      <w:r w:rsidR="00AA6A00">
        <w:rPr>
          <w:rFonts w:ascii="Tahoma" w:hAnsi="Tahoma" w:cs="Tahoma"/>
          <w:bCs/>
          <w:color w:val="002060"/>
        </w:rPr>
        <w:t xml:space="preserve"> </w:t>
      </w:r>
      <w:r>
        <w:rPr>
          <w:rFonts w:ascii="Tahoma" w:hAnsi="Tahoma" w:cs="Tahoma"/>
          <w:bCs/>
          <w:color w:val="002060"/>
        </w:rPr>
        <w:t>ciudad</w:t>
      </w:r>
    </w:p>
    <w:p w:rsidR="00C01076" w:rsidRPr="00402ABF" w:rsidRDefault="00C01076" w:rsidP="00C01076">
      <w:pPr>
        <w:jc w:val="both"/>
        <w:rPr>
          <w:rFonts w:ascii="Tahoma" w:hAnsi="Tahoma" w:cs="Tahoma"/>
        </w:rPr>
      </w:pPr>
    </w:p>
    <w:p w:rsidR="00C01076" w:rsidRPr="00C01076" w:rsidRDefault="00C01076" w:rsidP="00C01076">
      <w:pPr>
        <w:jc w:val="both"/>
        <w:rPr>
          <w:rFonts w:ascii="Tahoma" w:hAnsi="Tahoma" w:cs="Tahoma"/>
        </w:rPr>
      </w:pPr>
    </w:p>
    <w:p w:rsidR="00C01076" w:rsidRPr="00C01076" w:rsidRDefault="00C01076" w:rsidP="00C01076">
      <w:pPr>
        <w:jc w:val="both"/>
        <w:rPr>
          <w:rFonts w:ascii="Tahoma" w:hAnsi="Tahoma" w:cs="Tahoma"/>
        </w:rPr>
      </w:pPr>
    </w:p>
    <w:p w:rsidR="00C01076" w:rsidRPr="00C01076" w:rsidRDefault="00392957" w:rsidP="00C01076">
      <w:pPr>
        <w:jc w:val="right"/>
        <w:rPr>
          <w:rFonts w:ascii="Tahoma" w:hAnsi="Tahoma" w:cs="Tahoma"/>
        </w:rPr>
      </w:pPr>
      <w:r>
        <w:rPr>
          <w:rFonts w:ascii="Tahoma" w:hAnsi="Tahoma" w:cs="Tahoma"/>
        </w:rPr>
        <w:t xml:space="preserve">Fecha: </w:t>
      </w:r>
    </w:p>
    <w:p w:rsidR="00C01076" w:rsidRDefault="00C01076" w:rsidP="00C01076">
      <w:pPr>
        <w:jc w:val="both"/>
        <w:rPr>
          <w:rFonts w:ascii="Tahoma" w:hAnsi="Tahoma" w:cs="Tahoma"/>
        </w:rPr>
      </w:pPr>
    </w:p>
    <w:p w:rsidR="00402ABF" w:rsidRDefault="00402ABF" w:rsidP="00C01076">
      <w:pPr>
        <w:jc w:val="both"/>
        <w:rPr>
          <w:rFonts w:ascii="Tahoma" w:hAnsi="Tahoma" w:cs="Tahoma"/>
        </w:rPr>
      </w:pPr>
    </w:p>
    <w:p w:rsidR="00C01076" w:rsidRPr="00C01076" w:rsidRDefault="00C01076" w:rsidP="00C01076">
      <w:pPr>
        <w:jc w:val="both"/>
        <w:rPr>
          <w:rFonts w:ascii="Tahoma" w:hAnsi="Tahoma" w:cs="Tahoma"/>
        </w:rPr>
      </w:pPr>
      <w:r w:rsidRPr="00C01076">
        <w:rPr>
          <w:rFonts w:ascii="Tahoma" w:hAnsi="Tahoma" w:cs="Tahoma"/>
        </w:rPr>
        <w:t>Muy señores nuestros:</w:t>
      </w:r>
    </w:p>
    <w:p w:rsidR="00C01076" w:rsidRPr="00C01076" w:rsidRDefault="00C01076" w:rsidP="00C01076">
      <w:pPr>
        <w:jc w:val="both"/>
        <w:rPr>
          <w:rFonts w:ascii="Tahoma" w:hAnsi="Tahoma" w:cs="Tahoma"/>
        </w:rPr>
      </w:pPr>
    </w:p>
    <w:p w:rsidR="00C01076" w:rsidRPr="00C01076" w:rsidRDefault="00C01076" w:rsidP="00C01076">
      <w:pPr>
        <w:jc w:val="both"/>
        <w:rPr>
          <w:rFonts w:ascii="Tahoma" w:hAnsi="Tahoma" w:cs="Tahoma"/>
        </w:rPr>
      </w:pPr>
      <w:r>
        <w:rPr>
          <w:rFonts w:ascii="Tahoma" w:hAnsi="Tahoma" w:cs="Tahoma"/>
        </w:rPr>
        <w:t>L</w:t>
      </w:r>
      <w:r w:rsidRPr="00C01076">
        <w:rPr>
          <w:rFonts w:ascii="Tahoma" w:hAnsi="Tahoma" w:cs="Tahoma"/>
        </w:rPr>
        <w:t xml:space="preserve">a Entidad </w:t>
      </w:r>
      <w:r w:rsidR="00402ABF" w:rsidRPr="0092489A">
        <w:rPr>
          <w:rFonts w:ascii="Tahoma" w:hAnsi="Tahoma" w:cs="Tahoma"/>
          <w:b/>
          <w:smallCaps/>
          <w:color w:val="002060"/>
        </w:rPr>
        <w:t>«</w:t>
      </w:r>
      <w:proofErr w:type="spellStart"/>
      <w:r w:rsidR="00AA6A00">
        <w:rPr>
          <w:rFonts w:ascii="Tahoma" w:hAnsi="Tahoma" w:cs="Tahoma"/>
          <w:b/>
          <w:smallCaps/>
          <w:color w:val="002060"/>
        </w:rPr>
        <w:t>S</w:t>
      </w:r>
      <w:r w:rsidR="008202E9">
        <w:rPr>
          <w:rFonts w:ascii="Tahoma" w:hAnsi="Tahoma" w:cs="Tahoma"/>
          <w:b/>
          <w:smallCaps/>
          <w:color w:val="002060"/>
        </w:rPr>
        <w:t>xxxxxxxx</w:t>
      </w:r>
      <w:proofErr w:type="spellEnd"/>
      <w:r w:rsidR="008202E9">
        <w:rPr>
          <w:rFonts w:ascii="Tahoma" w:hAnsi="Tahoma" w:cs="Tahoma"/>
          <w:b/>
          <w:smallCaps/>
          <w:color w:val="002060"/>
        </w:rPr>
        <w:t>, Sociedad Anónima</w:t>
      </w:r>
      <w:r w:rsidR="00402ABF" w:rsidRPr="0092489A">
        <w:rPr>
          <w:rFonts w:ascii="Tahoma" w:hAnsi="Tahoma" w:cs="Tahoma"/>
          <w:b/>
          <w:color w:val="002060"/>
        </w:rPr>
        <w:t>»</w:t>
      </w:r>
      <w:r w:rsidRPr="00C01076">
        <w:rPr>
          <w:rFonts w:ascii="Tahoma" w:hAnsi="Tahoma" w:cs="Tahoma"/>
        </w:rPr>
        <w:t xml:space="preserve"> ha aceptado </w:t>
      </w:r>
      <w:r>
        <w:rPr>
          <w:rFonts w:ascii="Tahoma" w:hAnsi="Tahoma" w:cs="Tahoma"/>
        </w:rPr>
        <w:t>nuestra p</w:t>
      </w:r>
      <w:r w:rsidRPr="00C01076">
        <w:rPr>
          <w:rFonts w:ascii="Tahoma" w:hAnsi="Tahoma" w:cs="Tahoma"/>
        </w:rPr>
        <w:t xml:space="preserve">ropuesta </w:t>
      </w:r>
      <w:r>
        <w:rPr>
          <w:rFonts w:ascii="Tahoma" w:hAnsi="Tahoma" w:cs="Tahoma"/>
        </w:rPr>
        <w:t>p</w:t>
      </w:r>
      <w:r w:rsidRPr="00C01076">
        <w:rPr>
          <w:rFonts w:ascii="Tahoma" w:hAnsi="Tahoma" w:cs="Tahoma"/>
        </w:rPr>
        <w:t>ara que procedamos a auditar las cuentas anuales correspondientes al ejercicio</w:t>
      </w:r>
      <w:r>
        <w:rPr>
          <w:rFonts w:ascii="Tahoma" w:hAnsi="Tahoma" w:cs="Tahoma"/>
        </w:rPr>
        <w:t xml:space="preserve"> terminado a </w:t>
      </w:r>
      <w:r w:rsidR="008202E9">
        <w:rPr>
          <w:rFonts w:ascii="Tahoma" w:hAnsi="Tahoma" w:cs="Tahoma"/>
        </w:rPr>
        <w:t>xx</w:t>
      </w:r>
      <w:r w:rsidR="00AA6A00">
        <w:rPr>
          <w:rFonts w:ascii="Tahoma" w:hAnsi="Tahoma" w:cs="Tahoma"/>
        </w:rPr>
        <w:t xml:space="preserve"> de </w:t>
      </w:r>
      <w:proofErr w:type="spellStart"/>
      <w:r w:rsidR="008202E9">
        <w:rPr>
          <w:rFonts w:ascii="Tahoma" w:hAnsi="Tahoma" w:cs="Tahoma"/>
        </w:rPr>
        <w:t>xxxxxxx</w:t>
      </w:r>
      <w:proofErr w:type="spellEnd"/>
      <w:r w:rsidR="00AA6A00">
        <w:rPr>
          <w:rFonts w:ascii="Tahoma" w:hAnsi="Tahoma" w:cs="Tahoma"/>
        </w:rPr>
        <w:t xml:space="preserve"> </w:t>
      </w:r>
      <w:r>
        <w:rPr>
          <w:rFonts w:ascii="Tahoma" w:hAnsi="Tahoma" w:cs="Tahoma"/>
        </w:rPr>
        <w:t>de 201</w:t>
      </w:r>
      <w:r w:rsidR="00AA6A00">
        <w:rPr>
          <w:rFonts w:ascii="Tahoma" w:hAnsi="Tahoma" w:cs="Tahoma"/>
        </w:rPr>
        <w:t>5</w:t>
      </w:r>
      <w:r w:rsidRPr="00C01076">
        <w:rPr>
          <w:rFonts w:ascii="Tahoma" w:hAnsi="Tahoma" w:cs="Tahoma"/>
        </w:rPr>
        <w:t>.</w:t>
      </w:r>
    </w:p>
    <w:p w:rsidR="00DF2ABC" w:rsidRDefault="00C01076" w:rsidP="00C01076">
      <w:pPr>
        <w:spacing w:before="240"/>
        <w:jc w:val="both"/>
        <w:rPr>
          <w:rFonts w:ascii="Tahoma" w:hAnsi="Tahoma" w:cs="Tahoma"/>
        </w:rPr>
      </w:pPr>
      <w:r w:rsidRPr="00C01076">
        <w:rPr>
          <w:rFonts w:ascii="Tahoma" w:hAnsi="Tahoma" w:cs="Tahoma"/>
        </w:rPr>
        <w:t xml:space="preserve">Como Ustedes </w:t>
      </w:r>
      <w:r w:rsidR="008202E9">
        <w:rPr>
          <w:rFonts w:ascii="Tahoma" w:hAnsi="Tahoma" w:cs="Tahoma"/>
        </w:rPr>
        <w:t xml:space="preserve">ya conocen, </w:t>
      </w:r>
      <w:r w:rsidR="00F76489">
        <w:rPr>
          <w:rFonts w:ascii="Tahoma" w:hAnsi="Tahoma" w:cs="Tahoma"/>
        </w:rPr>
        <w:t>el artículo 25.2.f)</w:t>
      </w:r>
      <w:r w:rsidR="00DF2ABC">
        <w:rPr>
          <w:rFonts w:ascii="Tahoma" w:hAnsi="Tahoma" w:cs="Tahoma"/>
        </w:rPr>
        <w:t xml:space="preserve"> del Real Decreto Legislativo 1/2011, de 1 de julio, por el que se aprueba el texto refundido de la Ley de Auditoría de Cuentas (vigente hasta el 16 de junio de 2016), establece, en los casos de sustitución de auditor, que el auditor predecesor </w:t>
      </w:r>
      <w:r w:rsidR="00DF2ABC" w:rsidRPr="00DF2ABC">
        <w:rPr>
          <w:rFonts w:ascii="Tahoma" w:hAnsi="Tahoma" w:cs="Tahoma"/>
          <w:b/>
        </w:rPr>
        <w:t>debe permitir el acceso a sus papeles de trabajo al auditor sucesor</w:t>
      </w:r>
      <w:r w:rsidR="00DF2ABC">
        <w:rPr>
          <w:rFonts w:ascii="Tahoma" w:hAnsi="Tahoma" w:cs="Tahoma"/>
        </w:rPr>
        <w:t>, sin que sea necesaria una autorización expresa de la entidad auditada. Así mismo, el artículo 34.o) de la mencionada Ley contempla el régimen sancionador para el caso que el auditor predecesor no ponga a disposición del auditor sucesor los papeles de trabajo.</w:t>
      </w:r>
    </w:p>
    <w:p w:rsidR="00DF2ABC" w:rsidRDefault="00DF2ABC" w:rsidP="00C01076">
      <w:pPr>
        <w:spacing w:before="240"/>
        <w:jc w:val="both"/>
        <w:rPr>
          <w:rFonts w:ascii="Tahoma" w:hAnsi="Tahoma" w:cs="Tahoma"/>
        </w:rPr>
      </w:pPr>
      <w:r>
        <w:rPr>
          <w:rFonts w:ascii="Tahoma" w:hAnsi="Tahoma" w:cs="Tahoma"/>
        </w:rPr>
        <w:t xml:space="preserve">Por otra parte, </w:t>
      </w:r>
      <w:r w:rsidR="00392957">
        <w:rPr>
          <w:rFonts w:ascii="Tahoma" w:hAnsi="Tahoma" w:cs="Tahoma"/>
        </w:rPr>
        <w:t xml:space="preserve">el apartado 9 y 10 de </w:t>
      </w:r>
      <w:r>
        <w:rPr>
          <w:rFonts w:ascii="Tahoma" w:hAnsi="Tahoma" w:cs="Tahoma"/>
        </w:rPr>
        <w:t>la Resolución de 20 de marzo de 2014 del ICAC, por la que se publica la Norma Técnica de Auditoría sobre “relación entre auditores”</w:t>
      </w:r>
      <w:r w:rsidR="00392957">
        <w:rPr>
          <w:rFonts w:ascii="Tahoma" w:hAnsi="Tahoma" w:cs="Tahoma"/>
        </w:rPr>
        <w:t>, establece el procedimiento que deberá seguir el auditor predecesor en los casos de cambio de auditor, cuando el auditor sucesor considera de especial interés la obtención de evidencia alcanzada en ejercicios anteriores</w:t>
      </w:r>
      <w:r w:rsidR="008202E9">
        <w:rPr>
          <w:rFonts w:ascii="Tahoma" w:hAnsi="Tahoma" w:cs="Tahoma"/>
        </w:rPr>
        <w:t xml:space="preserve"> por el auditor predecesor</w:t>
      </w:r>
      <w:bookmarkStart w:id="0" w:name="_GoBack"/>
      <w:bookmarkEnd w:id="0"/>
      <w:r w:rsidR="00392957">
        <w:rPr>
          <w:rFonts w:ascii="Tahoma" w:hAnsi="Tahoma" w:cs="Tahoma"/>
        </w:rPr>
        <w:t>.</w:t>
      </w:r>
    </w:p>
    <w:p w:rsidR="00C01076" w:rsidRDefault="00C01076" w:rsidP="00C01076">
      <w:pPr>
        <w:pStyle w:val="Textoindependiente"/>
        <w:spacing w:before="240"/>
        <w:jc w:val="both"/>
        <w:rPr>
          <w:rFonts w:ascii="Tahoma" w:hAnsi="Tahoma" w:cs="Tahoma"/>
        </w:rPr>
      </w:pPr>
      <w:r w:rsidRPr="00C01076">
        <w:rPr>
          <w:rFonts w:ascii="Tahoma" w:hAnsi="Tahoma" w:cs="Tahoma"/>
        </w:rPr>
        <w:t>En consecuencia, les agradeceremos nos informen</w:t>
      </w:r>
      <w:r w:rsidR="00387CA3">
        <w:rPr>
          <w:rFonts w:ascii="Tahoma" w:hAnsi="Tahoma" w:cs="Tahoma"/>
        </w:rPr>
        <w:t>,</w:t>
      </w:r>
      <w:r w:rsidRPr="00C01076">
        <w:rPr>
          <w:rFonts w:ascii="Tahoma" w:hAnsi="Tahoma" w:cs="Tahoma"/>
        </w:rPr>
        <w:t xml:space="preserve"> por escrito</w:t>
      </w:r>
      <w:r w:rsidR="00387CA3">
        <w:rPr>
          <w:rFonts w:ascii="Tahoma" w:hAnsi="Tahoma" w:cs="Tahoma"/>
        </w:rPr>
        <w:t>,</w:t>
      </w:r>
      <w:r w:rsidRPr="00C01076">
        <w:rPr>
          <w:rFonts w:ascii="Tahoma" w:hAnsi="Tahoma" w:cs="Tahoma"/>
        </w:rPr>
        <w:t xml:space="preserve"> de </w:t>
      </w:r>
      <w:r>
        <w:rPr>
          <w:rFonts w:ascii="Tahoma" w:hAnsi="Tahoma" w:cs="Tahoma"/>
        </w:rPr>
        <w:t xml:space="preserve">la fecha en la que pudiéramos personarnos en sus oficinas para revisar los papeles de trabajo y tener conocimiento de </w:t>
      </w:r>
      <w:r w:rsidRPr="00C01076">
        <w:rPr>
          <w:rFonts w:ascii="Tahoma" w:hAnsi="Tahoma" w:cs="Tahoma"/>
        </w:rPr>
        <w:t>cualquier situación o razón</w:t>
      </w:r>
      <w:r>
        <w:rPr>
          <w:rFonts w:ascii="Tahoma" w:hAnsi="Tahoma" w:cs="Tahoma"/>
        </w:rPr>
        <w:t xml:space="preserve"> p</w:t>
      </w:r>
      <w:r w:rsidRPr="00C01076">
        <w:rPr>
          <w:rFonts w:ascii="Tahoma" w:hAnsi="Tahoma" w:cs="Tahoma"/>
        </w:rPr>
        <w:t>rofesional que debiésemos conocer</w:t>
      </w:r>
      <w:r>
        <w:rPr>
          <w:rFonts w:ascii="Tahoma" w:hAnsi="Tahoma" w:cs="Tahoma"/>
        </w:rPr>
        <w:t>, por el posible efecto que pudiera tener en la opinión de auditoría</w:t>
      </w:r>
      <w:r w:rsidRPr="00C01076">
        <w:rPr>
          <w:rFonts w:ascii="Tahoma" w:hAnsi="Tahoma" w:cs="Tahoma"/>
        </w:rPr>
        <w:t>.</w:t>
      </w:r>
      <w:r w:rsidR="00392957">
        <w:rPr>
          <w:rFonts w:ascii="Tahoma" w:hAnsi="Tahoma" w:cs="Tahoma"/>
        </w:rPr>
        <w:t xml:space="preserve"> En caso contrario, nos veríamos obligados a poner en conocimiento del organismo de control de la actividad de auditoría la imposibilidad, ajena a nuestra intención, de acceder a la documentación relativa a los trabajos de auditoría de ejercicios anteriores.</w:t>
      </w:r>
    </w:p>
    <w:p w:rsidR="00C01076" w:rsidRDefault="00C01076" w:rsidP="00C01076">
      <w:pPr>
        <w:pStyle w:val="Textoindependiente"/>
        <w:spacing w:before="240"/>
        <w:jc w:val="both"/>
        <w:rPr>
          <w:rFonts w:ascii="Tahoma" w:hAnsi="Tahoma" w:cs="Tahoma"/>
        </w:rPr>
      </w:pPr>
      <w:r>
        <w:rPr>
          <w:rFonts w:ascii="Tahoma" w:hAnsi="Tahoma" w:cs="Tahoma"/>
        </w:rPr>
        <w:t>Al objeto de facilitarles la comunicación con nosotros, les indicamos nuestra dirección de correo electrónico:</w:t>
      </w:r>
    </w:p>
    <w:p w:rsidR="00C01076" w:rsidRPr="00C01076" w:rsidRDefault="00392957" w:rsidP="00C01076">
      <w:pPr>
        <w:pStyle w:val="Textoindependiente"/>
        <w:jc w:val="center"/>
        <w:rPr>
          <w:rFonts w:ascii="Tahoma" w:hAnsi="Tahoma" w:cs="Tahoma"/>
        </w:rPr>
      </w:pPr>
      <w:proofErr w:type="spellStart"/>
      <w:r>
        <w:rPr>
          <w:rFonts w:ascii="Tahoma" w:hAnsi="Tahoma" w:cs="Tahoma"/>
        </w:rPr>
        <w:t>xxxxxx</w:t>
      </w:r>
      <w:r w:rsidR="00C01076">
        <w:rPr>
          <w:rFonts w:ascii="Tahoma" w:hAnsi="Tahoma" w:cs="Tahoma"/>
        </w:rPr>
        <w:t>@</w:t>
      </w:r>
      <w:r>
        <w:rPr>
          <w:rFonts w:ascii="Tahoma" w:hAnsi="Tahoma" w:cs="Tahoma"/>
        </w:rPr>
        <w:t>xxxxxxx</w:t>
      </w:r>
      <w:proofErr w:type="spellEnd"/>
    </w:p>
    <w:p w:rsidR="00AA6A00" w:rsidRDefault="00AA6A00" w:rsidP="00C01076">
      <w:pPr>
        <w:jc w:val="both"/>
        <w:rPr>
          <w:rFonts w:ascii="Tahoma" w:hAnsi="Tahoma" w:cs="Tahoma"/>
        </w:rPr>
      </w:pPr>
    </w:p>
    <w:p w:rsidR="00C01076" w:rsidRPr="00C01076" w:rsidRDefault="00392957" w:rsidP="00C01076">
      <w:pPr>
        <w:jc w:val="both"/>
        <w:rPr>
          <w:rFonts w:ascii="Tahoma" w:hAnsi="Tahoma" w:cs="Tahoma"/>
        </w:rPr>
      </w:pPr>
      <w:r>
        <w:rPr>
          <w:rFonts w:ascii="Tahoma" w:hAnsi="Tahoma" w:cs="Tahoma"/>
        </w:rPr>
        <w:t>Confiamos que en breve pueda dar respuesta a esta solicitud y a</w:t>
      </w:r>
      <w:r w:rsidR="00C01076" w:rsidRPr="00C01076">
        <w:rPr>
          <w:rFonts w:ascii="Tahoma" w:hAnsi="Tahoma" w:cs="Tahoma"/>
        </w:rPr>
        <w:t>gradeciendo de antemano su colaboración, quedamos a su disposición para cualquier asunto que estime</w:t>
      </w:r>
      <w:r w:rsidR="00AA6A00">
        <w:rPr>
          <w:rFonts w:ascii="Tahoma" w:hAnsi="Tahoma" w:cs="Tahoma"/>
        </w:rPr>
        <w:t>n</w:t>
      </w:r>
      <w:r w:rsidR="00C01076" w:rsidRPr="00C01076">
        <w:rPr>
          <w:rFonts w:ascii="Tahoma" w:hAnsi="Tahoma" w:cs="Tahoma"/>
        </w:rPr>
        <w:t xml:space="preserve"> oportuno.</w:t>
      </w:r>
    </w:p>
    <w:p w:rsidR="00C01076" w:rsidRPr="00C01076" w:rsidRDefault="00C01076" w:rsidP="00C01076">
      <w:pPr>
        <w:pStyle w:val="Textoindependiente"/>
        <w:jc w:val="both"/>
        <w:rPr>
          <w:rFonts w:ascii="Tahoma" w:hAnsi="Tahoma" w:cs="Tahoma"/>
        </w:rPr>
      </w:pPr>
    </w:p>
    <w:p w:rsidR="00C01076" w:rsidRPr="00C01076" w:rsidRDefault="00C01076" w:rsidP="00C01076">
      <w:pPr>
        <w:jc w:val="both"/>
        <w:rPr>
          <w:rFonts w:ascii="Tahoma" w:hAnsi="Tahoma" w:cs="Tahoma"/>
        </w:rPr>
      </w:pPr>
      <w:r w:rsidRPr="00C01076">
        <w:rPr>
          <w:rFonts w:ascii="Tahoma" w:hAnsi="Tahoma" w:cs="Tahoma"/>
        </w:rPr>
        <w:t xml:space="preserve">Atentamente, </w:t>
      </w:r>
    </w:p>
    <w:p w:rsidR="0001588E" w:rsidRPr="0001588E" w:rsidRDefault="0001588E" w:rsidP="00392957">
      <w:pPr>
        <w:spacing w:line="360" w:lineRule="auto"/>
        <w:ind w:firstLine="567"/>
        <w:jc w:val="both"/>
        <w:rPr>
          <w:rFonts w:ascii="Tahoma" w:hAnsi="Tahoma" w:cs="Tahoma"/>
          <w:sz w:val="16"/>
        </w:rPr>
      </w:pPr>
      <w:r w:rsidRPr="0001588E">
        <w:rPr>
          <w:rFonts w:ascii="Tahoma" w:hAnsi="Tahoma" w:cs="Tahoma"/>
          <w:sz w:val="16"/>
        </w:rPr>
        <w:tab/>
      </w:r>
      <w:r w:rsidRPr="0001588E">
        <w:rPr>
          <w:rFonts w:ascii="Tahoma" w:hAnsi="Tahoma" w:cs="Tahoma"/>
          <w:sz w:val="16"/>
        </w:rPr>
        <w:tab/>
        <w:t xml:space="preserve">        </w:t>
      </w:r>
    </w:p>
    <w:p w:rsidR="00387CA3" w:rsidRDefault="00BA02A5" w:rsidP="005A2F88">
      <w:pPr>
        <w:spacing w:line="360" w:lineRule="auto"/>
        <w:jc w:val="both"/>
        <w:rPr>
          <w:rFonts w:ascii="Tahoma" w:hAnsi="Tahoma" w:cs="Tahoma"/>
          <w:i/>
          <w:iCs/>
          <w:w w:val="150"/>
          <w:sz w:val="16"/>
        </w:rPr>
      </w:pPr>
      <w:r>
        <w:rPr>
          <w:rFonts w:ascii="Tahoma" w:hAnsi="Tahoma" w:cs="Tahoma"/>
          <w:i/>
          <w:iCs/>
          <w:sz w:val="16"/>
        </w:rPr>
        <w:t xml:space="preserve">   </w:t>
      </w:r>
      <w:r w:rsidR="0092489A">
        <w:rPr>
          <w:rFonts w:ascii="Tahoma" w:hAnsi="Tahoma" w:cs="Tahoma"/>
          <w:i/>
          <w:iCs/>
          <w:sz w:val="16"/>
        </w:rPr>
        <w:t xml:space="preserve">    </w:t>
      </w:r>
      <w:r w:rsidR="0001588E" w:rsidRPr="0001588E">
        <w:rPr>
          <w:rFonts w:ascii="Tahoma" w:hAnsi="Tahoma" w:cs="Tahoma"/>
          <w:i/>
          <w:iCs/>
          <w:sz w:val="16"/>
        </w:rPr>
        <w:t xml:space="preserve"> </w:t>
      </w:r>
      <w:r w:rsidR="00392957">
        <w:rPr>
          <w:rFonts w:ascii="Tahoma" w:hAnsi="Tahoma" w:cs="Tahoma"/>
          <w:i/>
          <w:iCs/>
          <w:sz w:val="16"/>
        </w:rPr>
        <w:t xml:space="preserve">Fdo. </w:t>
      </w:r>
      <w:proofErr w:type="spellStart"/>
      <w:r w:rsidR="00392957">
        <w:rPr>
          <w:rFonts w:ascii="Tahoma" w:hAnsi="Tahoma" w:cs="Tahoma"/>
          <w:i/>
          <w:iCs/>
          <w:sz w:val="16"/>
        </w:rPr>
        <w:t>Xxxxxxxxxxxx</w:t>
      </w:r>
      <w:proofErr w:type="spellEnd"/>
    </w:p>
    <w:p w:rsidR="00876C1B" w:rsidRPr="0092489A" w:rsidRDefault="00387CA3" w:rsidP="005A2F88">
      <w:pPr>
        <w:spacing w:line="360" w:lineRule="auto"/>
        <w:jc w:val="both"/>
        <w:rPr>
          <w:rFonts w:ascii="Tahoma" w:hAnsi="Tahoma" w:cs="Tahoma"/>
          <w:i/>
          <w:iCs/>
          <w:smallCaps/>
          <w:w w:val="150"/>
          <w:sz w:val="16"/>
          <w:szCs w:val="15"/>
        </w:rPr>
      </w:pPr>
      <w:r>
        <w:rPr>
          <w:rFonts w:ascii="Tahoma" w:hAnsi="Tahoma" w:cs="Tahoma"/>
          <w:i/>
          <w:iCs/>
          <w:w w:val="150"/>
          <w:sz w:val="16"/>
        </w:rPr>
        <w:t xml:space="preserve">  </w:t>
      </w:r>
      <w:r w:rsidR="0092489A">
        <w:rPr>
          <w:rFonts w:ascii="Tahoma" w:hAnsi="Tahoma" w:cs="Tahoma"/>
          <w:i/>
          <w:iCs/>
          <w:w w:val="150"/>
          <w:sz w:val="16"/>
        </w:rPr>
        <w:t xml:space="preserve">   </w:t>
      </w:r>
      <w:r>
        <w:rPr>
          <w:rFonts w:ascii="Tahoma" w:hAnsi="Tahoma" w:cs="Tahoma"/>
          <w:i/>
          <w:iCs/>
          <w:w w:val="150"/>
          <w:sz w:val="16"/>
        </w:rPr>
        <w:t>Auditor de Cuentas</w:t>
      </w:r>
      <w:r w:rsidR="0001588E" w:rsidRPr="00C01076">
        <w:rPr>
          <w:rFonts w:ascii="Tahoma" w:hAnsi="Tahoma" w:cs="Tahoma"/>
          <w:i/>
          <w:iCs/>
          <w:w w:val="150"/>
          <w:sz w:val="16"/>
        </w:rPr>
        <w:t xml:space="preserve"> </w:t>
      </w:r>
      <w:r w:rsidR="0001588E" w:rsidRPr="00C01076">
        <w:rPr>
          <w:rFonts w:ascii="Tahoma" w:hAnsi="Tahoma" w:cs="Tahoma"/>
          <w:i/>
          <w:iCs/>
          <w:w w:val="150"/>
          <w:sz w:val="16"/>
        </w:rPr>
        <w:tab/>
        <w:t xml:space="preserve">            </w:t>
      </w:r>
      <w:r w:rsidR="0001588E" w:rsidRPr="00C01076">
        <w:rPr>
          <w:rFonts w:ascii="Tahoma" w:hAnsi="Tahoma" w:cs="Tahoma"/>
          <w:i/>
          <w:iCs/>
          <w:smallCaps/>
          <w:w w:val="150"/>
          <w:sz w:val="16"/>
          <w:szCs w:val="15"/>
        </w:rPr>
        <w:tab/>
      </w:r>
    </w:p>
    <w:sectPr w:rsidR="00876C1B" w:rsidRPr="0092489A" w:rsidSect="00004ADB">
      <w:headerReference w:type="default" r:id="rId7"/>
      <w:footerReference w:type="default" r:id="rId8"/>
      <w:pgSz w:w="11906" w:h="16838"/>
      <w:pgMar w:top="2694" w:right="1418" w:bottom="2127" w:left="1418" w:header="1440" w:footer="1243" w:gutter="0"/>
      <w:pgBorders>
        <w:top w:val="single" w:sz="4" w:space="15" w:color="808080"/>
        <w:left w:val="single" w:sz="4" w:space="25" w:color="808080"/>
        <w:bottom w:val="single" w:sz="4" w:space="5" w:color="808080"/>
        <w:right w:val="single" w:sz="4" w:space="25" w:color="808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C0" w:rsidRDefault="008266C0">
      <w:r>
        <w:separator/>
      </w:r>
    </w:p>
  </w:endnote>
  <w:endnote w:type="continuationSeparator" w:id="0">
    <w:p w:rsidR="008266C0" w:rsidRDefault="0082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7B" w:rsidRPr="005A2F88" w:rsidRDefault="0008787B" w:rsidP="007A44F3">
    <w:pPr>
      <w:pStyle w:val="Piedepgina"/>
      <w:ind w:left="-360" w:right="-290"/>
      <w:jc w:val="center"/>
      <w:rPr>
        <w:rFonts w:ascii="Bradley Hand ITC" w:hAnsi="Bradley Hand ITC"/>
        <w:i/>
        <w:color w:val="1C1C1C"/>
        <w:w w:val="110"/>
        <w:sz w:val="15"/>
        <w:szCs w:val="15"/>
        <w:lang w:val="es-ES"/>
      </w:rPr>
    </w:pPr>
    <w:r w:rsidRPr="005A2F88">
      <w:rPr>
        <w:rFonts w:ascii="Bradley Hand ITC" w:hAnsi="Bradley Hand ITC"/>
        <w:i/>
        <w:color w:val="1C1C1C"/>
        <w:w w:val="110"/>
        <w:sz w:val="15"/>
        <w:szCs w:val="15"/>
        <w:lang w:val="es-ES"/>
      </w:rPr>
      <w:t>Inscrito con el n</w:t>
    </w:r>
    <w:r>
      <w:rPr>
        <w:rFonts w:ascii="Bradley Hand ITC" w:hAnsi="Bradley Hand ITC"/>
        <w:i/>
        <w:color w:val="1C1C1C"/>
        <w:w w:val="110"/>
        <w:sz w:val="15"/>
        <w:szCs w:val="15"/>
        <w:lang w:val="es-ES"/>
      </w:rPr>
      <w:t xml:space="preserve">úmero </w:t>
    </w:r>
    <w:proofErr w:type="spellStart"/>
    <w:r w:rsidR="00392957">
      <w:rPr>
        <w:rFonts w:ascii="Bradley Hand ITC" w:hAnsi="Bradley Hand ITC"/>
        <w:i/>
        <w:color w:val="1C1C1C"/>
        <w:w w:val="110"/>
        <w:sz w:val="15"/>
        <w:szCs w:val="15"/>
        <w:lang w:val="es-ES"/>
      </w:rPr>
      <w:t>xxxxxx</w:t>
    </w:r>
    <w:proofErr w:type="spellEnd"/>
    <w:r w:rsidRPr="005A2F88">
      <w:rPr>
        <w:rFonts w:ascii="Bradley Hand ITC" w:hAnsi="Bradley Hand ITC"/>
        <w:i/>
        <w:color w:val="1C1C1C"/>
        <w:w w:val="110"/>
        <w:sz w:val="15"/>
        <w:szCs w:val="15"/>
        <w:lang w:val="es-ES"/>
      </w:rPr>
      <w:t xml:space="preserve"> en el Registro Oficial de Auditores de Cuentas de España (ROAC)</w:t>
    </w:r>
  </w:p>
  <w:p w:rsidR="0008787B" w:rsidRPr="007A44F3" w:rsidRDefault="0008787B" w:rsidP="007A44F3">
    <w:pPr>
      <w:pStyle w:val="Piedepgina"/>
      <w:ind w:left="-360" w:right="-290"/>
      <w:jc w:val="center"/>
      <w:rPr>
        <w:rFonts w:ascii="Bradley Hand ITC" w:hAnsi="Bradley Hand ITC"/>
        <w:i/>
        <w:color w:val="333333"/>
        <w:w w:val="110"/>
        <w:sz w:val="15"/>
        <w:szCs w:val="15"/>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C0" w:rsidRDefault="008266C0">
      <w:r>
        <w:separator/>
      </w:r>
    </w:p>
  </w:footnote>
  <w:footnote w:type="continuationSeparator" w:id="0">
    <w:p w:rsidR="008266C0" w:rsidRDefault="00826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7B" w:rsidRDefault="00AA6A00" w:rsidP="00033862">
    <w:pPr>
      <w:pStyle w:val="Encabezado"/>
      <w:pBdr>
        <w:bottom w:val="single" w:sz="4" w:space="13" w:color="000080"/>
      </w:pBdr>
    </w:pPr>
    <w:r>
      <w:rPr>
        <w:noProof/>
        <w:color w:val="000080"/>
        <w:lang w:val="es-ES"/>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9525</wp:posOffset>
              </wp:positionV>
              <wp:extent cx="2085975" cy="5715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5975" cy="571500"/>
                      </a:xfrm>
                      <a:prstGeom prst="rect">
                        <a:avLst/>
                      </a:prstGeom>
                      <a:extLst>
                        <a:ext uri="{AF507438-7753-43E0-B8FC-AC1667EBCBE1}">
                          <a14:hiddenEffects xmlns:a14="http://schemas.microsoft.com/office/drawing/2010/main">
                            <a:effectLst/>
                          </a14:hiddenEffects>
                        </a:ext>
                      </a:extLst>
                    </wps:spPr>
                    <wps:txbx>
                      <w:txbxContent>
                        <w:p w:rsidR="00AA6A00" w:rsidRDefault="00392957" w:rsidP="00AA6A00">
                          <w:pPr>
                            <w:pStyle w:val="NormalWeb"/>
                            <w:spacing w:before="0" w:beforeAutospacing="0" w:after="0" w:afterAutospacing="0"/>
                            <w:jc w:val="center"/>
                          </w:pPr>
                          <w:proofErr w:type="spellStart"/>
                          <w:r>
                            <w:rPr>
                              <w:rFonts w:ascii="Bradley Hand ITC" w:hAnsi="Bradley Hand ITC"/>
                              <w:color w:val="808080"/>
                              <w:spacing w:val="40"/>
                              <w:sz w:val="20"/>
                              <w:szCs w:val="20"/>
                              <w14:textOutline w14:w="6350" w14:cap="flat" w14:cmpd="sng" w14:algn="ctr">
                                <w14:solidFill>
                                  <w14:srgbClr w14:val="000080"/>
                                </w14:solidFill>
                                <w14:prstDash w14:val="solid"/>
                                <w14:round/>
                              </w14:textOutline>
                            </w:rPr>
                            <w:t>Xxxxxxxxxxxxxxxx</w:t>
                          </w:r>
                          <w:proofErr w:type="spellEnd"/>
                        </w:p>
                      </w:txbxContent>
                    </wps:txbx>
                    <wps:bodyPr wrap="square" numCol="1" fromWordArt="1">
                      <a:prstTxWarp prst="textDeflateInflateDeflate">
                        <a:avLst>
                          <a:gd name="adj" fmla="val 33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pt;margin-top:.75pt;width:164.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" filled="f" stroked="f">
              <o:lock v:ext="edit" shapetype="t"/>
              <v:textbox style="mso-fit-shape-to-text:t">
                <w:txbxContent>
                  <w:p w:rsidR="00AA6A00" w:rsidRDefault="00392957" w:rsidP="00AA6A00">
                    <w:pPr>
                      <w:pStyle w:val="NormalWeb"/>
                      <w:spacing w:before="0" w:beforeAutospacing="0" w:after="0" w:afterAutospacing="0"/>
                      <w:jc w:val="center"/>
                    </w:pPr>
                    <w:proofErr w:type="spellStart"/>
                    <w:r>
                      <w:rPr>
                        <w:rFonts w:ascii="Bradley Hand ITC" w:hAnsi="Bradley Hand ITC"/>
                        <w:color w:val="808080"/>
                        <w:spacing w:val="40"/>
                        <w:sz w:val="20"/>
                        <w:szCs w:val="20"/>
                        <w14:textOutline w14:w="6350" w14:cap="flat" w14:cmpd="sng" w14:algn="ctr">
                          <w14:solidFill>
                            <w14:srgbClr w14:val="000080"/>
                          </w14:solidFill>
                          <w14:prstDash w14:val="solid"/>
                          <w14:round/>
                        </w14:textOutline>
                      </w:rPr>
                      <w:t>Xxxxxxxxxxxxxxxx</w:t>
                    </w:r>
                    <w:proofErr w:type="spellEnd"/>
                  </w:p>
                </w:txbxContent>
              </v:textbox>
            </v:shape>
          </w:pict>
        </mc:Fallback>
      </mc:AlternateContent>
    </w:r>
  </w:p>
  <w:p w:rsidR="0008787B" w:rsidRPr="003825A6" w:rsidRDefault="00AA6A00" w:rsidP="00033862">
    <w:pPr>
      <w:pStyle w:val="Encabezado"/>
      <w:pBdr>
        <w:bottom w:val="single" w:sz="4" w:space="13" w:color="000080"/>
      </w:pBdr>
      <w:rPr>
        <w:w w:val="90"/>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33019</wp:posOffset>
              </wp:positionH>
              <wp:positionV relativeFrom="paragraph">
                <wp:posOffset>92075</wp:posOffset>
              </wp:positionV>
              <wp:extent cx="2219325" cy="533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19325" cy="533400"/>
                      </a:xfrm>
                      <a:prstGeom prst="rect">
                        <a:avLst/>
                      </a:prstGeom>
                      <a:extLst>
                        <a:ext uri="{AF507438-7753-43E0-B8FC-AC1667EBCBE1}">
                          <a14:hiddenEffects xmlns:a14="http://schemas.microsoft.com/office/drawing/2010/main">
                            <a:effectLst/>
                          </a14:hiddenEffects>
                        </a:ext>
                      </a:extLst>
                    </wps:spPr>
                    <wps:txbx>
                      <w:txbxContent>
                        <w:p w:rsidR="00AA6A00" w:rsidRDefault="00AA6A00" w:rsidP="00AA6A00">
                          <w:pPr>
                            <w:pStyle w:val="NormalWeb"/>
                            <w:spacing w:before="0" w:beforeAutospacing="0" w:after="0" w:afterAutospacing="0"/>
                            <w:jc w:val="center"/>
                          </w:pPr>
                          <w:r>
                            <w:rPr>
                              <w:rFonts w:ascii="Bradley Hand ITC" w:hAnsi="Bradley Hand ITC"/>
                              <w:color w:val="808080"/>
                              <w:spacing w:val="40"/>
                              <w:sz w:val="20"/>
                              <w:szCs w:val="20"/>
                              <w14:textOutline w14:w="6350" w14:cap="flat" w14:cmpd="sng" w14:algn="ctr">
                                <w14:solidFill>
                                  <w14:srgbClr w14:val="000080"/>
                                </w14:solidFill>
                                <w14:prstDash w14:val="solid"/>
                                <w14:round/>
                              </w14:textOutline>
                            </w:rPr>
                            <w:t>Auditores de Cuentas</w:t>
                          </w:r>
                        </w:p>
                      </w:txbxContent>
                    </wps:txbx>
                    <wps:bodyPr wrap="square" numCol="1" fromWordArt="1">
                      <a:prstTxWarp prst="textDeflateInflateDeflate">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2.6pt;margin-top:7.25pt;width:174.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" filled="f" stroked="f">
              <o:lock v:ext="edit" shapetype="t"/>
              <v:textbox style="mso-fit-shape-to-text:t">
                <w:txbxContent>
                  <w:p w:rsidR="00AA6A00" w:rsidRDefault="00AA6A00" w:rsidP="00AA6A00">
                    <w:pPr>
                      <w:pStyle w:val="NormalWeb"/>
                      <w:spacing w:before="0" w:beforeAutospacing="0" w:after="0" w:afterAutospacing="0"/>
                      <w:jc w:val="center"/>
                    </w:pPr>
                    <w:r>
                      <w:rPr>
                        <w:rFonts w:ascii="Bradley Hand ITC" w:hAnsi="Bradley Hand ITC"/>
                        <w:color w:val="808080"/>
                        <w:spacing w:val="40"/>
                        <w:sz w:val="20"/>
                        <w:szCs w:val="20"/>
                        <w14:textOutline w14:w="6350" w14:cap="flat" w14:cmpd="sng" w14:algn="ctr">
                          <w14:solidFill>
                            <w14:srgbClr w14:val="000080"/>
                          </w14:solidFill>
                          <w14:prstDash w14:val="solid"/>
                          <w14:round/>
                        </w14:textOutline>
                      </w:rPr>
                      <w:t>Auditores de Cuentas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208F"/>
    <w:multiLevelType w:val="hybridMultilevel"/>
    <w:tmpl w:val="99168418"/>
    <w:lvl w:ilvl="0" w:tplc="D37E2534">
      <w:start w:val="1"/>
      <w:numFmt w:val="bullet"/>
      <w:lvlText w:val=""/>
      <w:lvlJc w:val="left"/>
      <w:pPr>
        <w:tabs>
          <w:tab w:val="num" w:pos="2205"/>
        </w:tabs>
        <w:ind w:left="2205" w:hanging="360"/>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
    <w:nsid w:val="1E3B6C82"/>
    <w:multiLevelType w:val="multilevel"/>
    <w:tmpl w:val="13389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CC318D"/>
    <w:multiLevelType w:val="multilevel"/>
    <w:tmpl w:val="73A2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2F12A9"/>
    <w:multiLevelType w:val="hybridMultilevel"/>
    <w:tmpl w:val="1744F7E8"/>
    <w:lvl w:ilvl="0" w:tplc="DA42BD22">
      <w:start w:val="1"/>
      <w:numFmt w:val="decimal"/>
      <w:lvlText w:val="%1."/>
      <w:lvlJc w:val="left"/>
      <w:pPr>
        <w:tabs>
          <w:tab w:val="num" w:pos="720"/>
        </w:tabs>
        <w:ind w:left="720" w:hanging="360"/>
      </w:pPr>
      <w:rPr>
        <w:rFonts w:hint="default"/>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2F843DC"/>
    <w:multiLevelType w:val="hybridMultilevel"/>
    <w:tmpl w:val="21A4FB16"/>
    <w:lvl w:ilvl="0" w:tplc="0790765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49B128A"/>
    <w:multiLevelType w:val="hybridMultilevel"/>
    <w:tmpl w:val="CB96D1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6F95D06"/>
    <w:multiLevelType w:val="hybridMultilevel"/>
    <w:tmpl w:val="0B9E2618"/>
    <w:lvl w:ilvl="0" w:tplc="0790765E">
      <w:start w:val="1"/>
      <w:numFmt w:val="bullet"/>
      <w:lvlText w:val=""/>
      <w:lvlJc w:val="left"/>
      <w:pPr>
        <w:ind w:left="1260" w:hanging="360"/>
      </w:pPr>
      <w:rPr>
        <w:rFonts w:ascii="Wingdings" w:hAnsi="Wingdings"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7">
    <w:nsid w:val="660511E0"/>
    <w:multiLevelType w:val="hybridMultilevel"/>
    <w:tmpl w:val="E7FA17F4"/>
    <w:lvl w:ilvl="0" w:tplc="43FEEFD0">
      <w:start w:val="1"/>
      <w:numFmt w:val="decimal"/>
      <w:lvlText w:val="%1."/>
      <w:lvlJc w:val="left"/>
      <w:pPr>
        <w:tabs>
          <w:tab w:val="num" w:pos="503"/>
        </w:tabs>
        <w:ind w:left="503" w:hanging="360"/>
      </w:pPr>
      <w:rPr>
        <w:rFonts w:hint="default"/>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8">
    <w:nsid w:val="75EE0282"/>
    <w:multiLevelType w:val="hybridMultilevel"/>
    <w:tmpl w:val="D4DEE82C"/>
    <w:lvl w:ilvl="0" w:tplc="0790765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1"/>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AE"/>
    <w:rsid w:val="00000290"/>
    <w:rsid w:val="00004ADB"/>
    <w:rsid w:val="0001588E"/>
    <w:rsid w:val="00022378"/>
    <w:rsid w:val="00024848"/>
    <w:rsid w:val="00030EA3"/>
    <w:rsid w:val="00033862"/>
    <w:rsid w:val="00035AAE"/>
    <w:rsid w:val="0004131D"/>
    <w:rsid w:val="00055950"/>
    <w:rsid w:val="00057835"/>
    <w:rsid w:val="0006711C"/>
    <w:rsid w:val="0007659C"/>
    <w:rsid w:val="00083510"/>
    <w:rsid w:val="0008787B"/>
    <w:rsid w:val="000B2F2F"/>
    <w:rsid w:val="000D5982"/>
    <w:rsid w:val="00134B62"/>
    <w:rsid w:val="00152921"/>
    <w:rsid w:val="00157929"/>
    <w:rsid w:val="00164825"/>
    <w:rsid w:val="001901C9"/>
    <w:rsid w:val="001D793C"/>
    <w:rsid w:val="00221ADE"/>
    <w:rsid w:val="00226012"/>
    <w:rsid w:val="00250D73"/>
    <w:rsid w:val="00262C7E"/>
    <w:rsid w:val="0026415A"/>
    <w:rsid w:val="002674F6"/>
    <w:rsid w:val="002744BB"/>
    <w:rsid w:val="00295A21"/>
    <w:rsid w:val="002C198F"/>
    <w:rsid w:val="002D6987"/>
    <w:rsid w:val="00334F04"/>
    <w:rsid w:val="003439DC"/>
    <w:rsid w:val="0035110F"/>
    <w:rsid w:val="00361F15"/>
    <w:rsid w:val="0037616B"/>
    <w:rsid w:val="003763FC"/>
    <w:rsid w:val="003825A6"/>
    <w:rsid w:val="00386D7C"/>
    <w:rsid w:val="00387CA3"/>
    <w:rsid w:val="003925BD"/>
    <w:rsid w:val="00392957"/>
    <w:rsid w:val="003D04D9"/>
    <w:rsid w:val="00402ABF"/>
    <w:rsid w:val="004030D5"/>
    <w:rsid w:val="00405EEE"/>
    <w:rsid w:val="00410F57"/>
    <w:rsid w:val="00413049"/>
    <w:rsid w:val="00464F10"/>
    <w:rsid w:val="00471675"/>
    <w:rsid w:val="00471E08"/>
    <w:rsid w:val="0049390F"/>
    <w:rsid w:val="00496084"/>
    <w:rsid w:val="004B2672"/>
    <w:rsid w:val="004F0D4E"/>
    <w:rsid w:val="004F6037"/>
    <w:rsid w:val="005049A5"/>
    <w:rsid w:val="00510BF1"/>
    <w:rsid w:val="00525531"/>
    <w:rsid w:val="00531894"/>
    <w:rsid w:val="00545DFC"/>
    <w:rsid w:val="00562212"/>
    <w:rsid w:val="00565656"/>
    <w:rsid w:val="005668ED"/>
    <w:rsid w:val="00596FB2"/>
    <w:rsid w:val="005A2F88"/>
    <w:rsid w:val="005C2680"/>
    <w:rsid w:val="005C2D0E"/>
    <w:rsid w:val="005E19DE"/>
    <w:rsid w:val="005F68C2"/>
    <w:rsid w:val="006041D6"/>
    <w:rsid w:val="00617C73"/>
    <w:rsid w:val="006A5AC1"/>
    <w:rsid w:val="007003D8"/>
    <w:rsid w:val="00732EF7"/>
    <w:rsid w:val="00741A56"/>
    <w:rsid w:val="00744F09"/>
    <w:rsid w:val="00753FBE"/>
    <w:rsid w:val="00766E9E"/>
    <w:rsid w:val="00785B31"/>
    <w:rsid w:val="00794251"/>
    <w:rsid w:val="007A44F3"/>
    <w:rsid w:val="007F5623"/>
    <w:rsid w:val="007F7200"/>
    <w:rsid w:val="008027BD"/>
    <w:rsid w:val="008118FE"/>
    <w:rsid w:val="008179B3"/>
    <w:rsid w:val="008202E9"/>
    <w:rsid w:val="008266C0"/>
    <w:rsid w:val="00862CB1"/>
    <w:rsid w:val="00876C1B"/>
    <w:rsid w:val="008928AE"/>
    <w:rsid w:val="008A3000"/>
    <w:rsid w:val="008B4B36"/>
    <w:rsid w:val="008B6B7E"/>
    <w:rsid w:val="008D4828"/>
    <w:rsid w:val="008F3CFA"/>
    <w:rsid w:val="00903C29"/>
    <w:rsid w:val="00911399"/>
    <w:rsid w:val="009144D6"/>
    <w:rsid w:val="0092489A"/>
    <w:rsid w:val="00933447"/>
    <w:rsid w:val="009438FF"/>
    <w:rsid w:val="009439F5"/>
    <w:rsid w:val="00944349"/>
    <w:rsid w:val="00975B39"/>
    <w:rsid w:val="00980884"/>
    <w:rsid w:val="00982B4B"/>
    <w:rsid w:val="0098791C"/>
    <w:rsid w:val="0099348A"/>
    <w:rsid w:val="009D7D08"/>
    <w:rsid w:val="009F3E21"/>
    <w:rsid w:val="00A6763A"/>
    <w:rsid w:val="00A84748"/>
    <w:rsid w:val="00A871AF"/>
    <w:rsid w:val="00A975FD"/>
    <w:rsid w:val="00AA6A00"/>
    <w:rsid w:val="00AB6498"/>
    <w:rsid w:val="00AC5F10"/>
    <w:rsid w:val="00B51069"/>
    <w:rsid w:val="00B95D38"/>
    <w:rsid w:val="00BA02A5"/>
    <w:rsid w:val="00BA3A2D"/>
    <w:rsid w:val="00BF2115"/>
    <w:rsid w:val="00BF2F97"/>
    <w:rsid w:val="00C01076"/>
    <w:rsid w:val="00C12187"/>
    <w:rsid w:val="00C30A9F"/>
    <w:rsid w:val="00C3245D"/>
    <w:rsid w:val="00C71DB2"/>
    <w:rsid w:val="00C93190"/>
    <w:rsid w:val="00CD7845"/>
    <w:rsid w:val="00D03AB4"/>
    <w:rsid w:val="00D273FF"/>
    <w:rsid w:val="00D6250D"/>
    <w:rsid w:val="00D80176"/>
    <w:rsid w:val="00D927EE"/>
    <w:rsid w:val="00DC2AA3"/>
    <w:rsid w:val="00DF2ABC"/>
    <w:rsid w:val="00E24017"/>
    <w:rsid w:val="00E542E2"/>
    <w:rsid w:val="00E55388"/>
    <w:rsid w:val="00E64621"/>
    <w:rsid w:val="00E82E6D"/>
    <w:rsid w:val="00EC7556"/>
    <w:rsid w:val="00ED288D"/>
    <w:rsid w:val="00EE1006"/>
    <w:rsid w:val="00F1668B"/>
    <w:rsid w:val="00F4300F"/>
    <w:rsid w:val="00F50773"/>
    <w:rsid w:val="00F57DE4"/>
    <w:rsid w:val="00F76489"/>
    <w:rsid w:val="00F82551"/>
    <w:rsid w:val="00FA4335"/>
    <w:rsid w:val="00FB5654"/>
    <w:rsid w:val="00FB7C15"/>
    <w:rsid w:val="00FC0996"/>
    <w:rsid w:val="00FD46E3"/>
    <w:rsid w:val="00FE66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CA53B9-CE99-4AC1-8C4E-54A4D626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000"/>
    <w:rPr>
      <w:rFonts w:ascii="Arial" w:hAnsi="Arial"/>
      <w:lang w:val="es-ES_tradnl"/>
    </w:rPr>
  </w:style>
  <w:style w:type="paragraph" w:styleId="Ttulo1">
    <w:name w:val="heading 1"/>
    <w:basedOn w:val="Normal"/>
    <w:next w:val="Normal"/>
    <w:qFormat/>
    <w:rsid w:val="008A3000"/>
    <w:pPr>
      <w:keepNext/>
      <w:jc w:val="both"/>
      <w:outlineLvl w:val="0"/>
    </w:pPr>
    <w:rPr>
      <w:rFonts w:ascii="Mistral" w:hAnsi="Mistral"/>
      <w:b/>
      <w:sz w:val="24"/>
    </w:rPr>
  </w:style>
  <w:style w:type="paragraph" w:styleId="Ttulo2">
    <w:name w:val="heading 2"/>
    <w:basedOn w:val="Normal"/>
    <w:next w:val="Normal"/>
    <w:link w:val="Ttulo2Car"/>
    <w:semiHidden/>
    <w:unhideWhenUsed/>
    <w:qFormat/>
    <w:rsid w:val="00C010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8A3000"/>
    <w:pPr>
      <w:keepNext/>
      <w:ind w:left="851" w:firstLine="129"/>
      <w:jc w:val="both"/>
      <w:outlineLvl w:val="3"/>
    </w:pPr>
    <w:rPr>
      <w:rFonts w:ascii="Garamond" w:hAnsi="Garamond"/>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75B39"/>
    <w:pPr>
      <w:tabs>
        <w:tab w:val="center" w:pos="4252"/>
        <w:tab w:val="right" w:pos="8504"/>
      </w:tabs>
    </w:pPr>
  </w:style>
  <w:style w:type="paragraph" w:styleId="Piedepgina">
    <w:name w:val="footer"/>
    <w:basedOn w:val="Normal"/>
    <w:rsid w:val="00975B39"/>
    <w:pPr>
      <w:tabs>
        <w:tab w:val="center" w:pos="4252"/>
        <w:tab w:val="right" w:pos="8504"/>
      </w:tabs>
    </w:pPr>
  </w:style>
  <w:style w:type="paragraph" w:styleId="Sangra3detindependiente">
    <w:name w:val="Body Text Indent 3"/>
    <w:basedOn w:val="Normal"/>
    <w:rsid w:val="008A3000"/>
    <w:pPr>
      <w:spacing w:after="120"/>
      <w:ind w:left="283"/>
    </w:pPr>
    <w:rPr>
      <w:sz w:val="16"/>
      <w:szCs w:val="16"/>
    </w:rPr>
  </w:style>
  <w:style w:type="paragraph" w:styleId="Textodeglobo">
    <w:name w:val="Balloon Text"/>
    <w:basedOn w:val="Normal"/>
    <w:semiHidden/>
    <w:rsid w:val="00766E9E"/>
    <w:rPr>
      <w:rFonts w:ascii="Tahoma" w:hAnsi="Tahoma" w:cs="Tahoma"/>
      <w:sz w:val="16"/>
      <w:szCs w:val="16"/>
    </w:rPr>
  </w:style>
  <w:style w:type="paragraph" w:styleId="Textoindependiente">
    <w:name w:val="Body Text"/>
    <w:basedOn w:val="Normal"/>
    <w:rsid w:val="00E82E6D"/>
    <w:pPr>
      <w:spacing w:after="120"/>
    </w:pPr>
  </w:style>
  <w:style w:type="paragraph" w:styleId="Sangra2detindependiente">
    <w:name w:val="Body Text Indent 2"/>
    <w:basedOn w:val="Normal"/>
    <w:rsid w:val="00E82E6D"/>
    <w:pPr>
      <w:spacing w:after="120" w:line="480" w:lineRule="auto"/>
      <w:ind w:left="283"/>
    </w:pPr>
  </w:style>
  <w:style w:type="paragraph" w:customStyle="1" w:styleId="Blockquote">
    <w:name w:val="Blockquote"/>
    <w:basedOn w:val="Normal"/>
    <w:rsid w:val="0007659C"/>
    <w:pPr>
      <w:spacing w:before="100" w:after="100"/>
      <w:ind w:left="360" w:right="360"/>
    </w:pPr>
    <w:rPr>
      <w:rFonts w:ascii="Times New Roman" w:hAnsi="Times New Roman"/>
      <w:snapToGrid w:val="0"/>
      <w:sz w:val="24"/>
      <w:lang w:val="es-ES"/>
    </w:rPr>
  </w:style>
  <w:style w:type="character" w:customStyle="1" w:styleId="Ttulo2Car">
    <w:name w:val="Título 2 Car"/>
    <w:basedOn w:val="Fuentedeprrafopredeter"/>
    <w:link w:val="Ttulo2"/>
    <w:semiHidden/>
    <w:rsid w:val="00C01076"/>
    <w:rPr>
      <w:rFonts w:asciiTheme="majorHAnsi" w:eastAsiaTheme="majorEastAsia" w:hAnsiTheme="majorHAnsi" w:cstheme="majorBidi"/>
      <w:b/>
      <w:bCs/>
      <w:color w:val="4F81BD" w:themeColor="accent1"/>
      <w:sz w:val="26"/>
      <w:szCs w:val="26"/>
      <w:lang w:val="es-ES_tradnl"/>
    </w:rPr>
  </w:style>
  <w:style w:type="paragraph" w:styleId="NormalWeb">
    <w:name w:val="Normal (Web)"/>
    <w:basedOn w:val="Normal"/>
    <w:uiPriority w:val="99"/>
    <w:semiHidden/>
    <w:unhideWhenUsed/>
    <w:rsid w:val="00AA6A00"/>
    <w:pPr>
      <w:spacing w:before="100" w:beforeAutospacing="1" w:after="100" w:afterAutospacing="1"/>
    </w:pPr>
    <w:rPr>
      <w:rFonts w:ascii="Times New Roman" w:eastAsiaTheme="minorEastAsia"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INFORME DE AUDITORÍA INDEPENDIENTE DE CUENTAS ANUALES</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AUDITORÍA INDEPENDIENTE DE CUENTAS ANUALES</dc:title>
  <dc:creator>s2auditecnia</dc:creator>
  <cp:lastModifiedBy>Toshiba</cp:lastModifiedBy>
  <cp:revision>2</cp:revision>
  <cp:lastPrinted>2010-12-13T13:05:00Z</cp:lastPrinted>
  <dcterms:created xsi:type="dcterms:W3CDTF">2016-02-04T10:04:00Z</dcterms:created>
  <dcterms:modified xsi:type="dcterms:W3CDTF">2016-02-04T10:04:00Z</dcterms:modified>
</cp:coreProperties>
</file>